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6B7874"/>
          <w:spacing w:val="60"/>
          <w:sz w:val="15"/>
          <w:szCs w:val="15"/>
        </w:rPr>
        <w:t xml:space="preserve">CATHEDRAL SAFETY SERVICES</w:t>
      </w:r>
    </w:p>
    <w:p>
      <w:pPr>
        <w:spacing w:after="140"/>
      </w:pPr>
      <w:r>
        <w:rPr>
          <w:rFonts w:ascii="Calibri" w:cs="Calibri" w:eastAsia="Calibri" w:hAnsi="Calibri"/>
          <w:b/>
          <w:bCs/>
          <w:color w:val="1A3735"/>
          <w:sz w:val="40"/>
          <w:szCs w:val="40"/>
        </w:rPr>
        <w:t xml:space="preserve">Safety Culture Maturity Self-Assessment</w:t>
      </w:r>
    </w:p>
    <w:p>
      <w:pPr>
        <w:spacing w:after="260" w:line="270"/>
      </w:pPr>
      <w:r>
        <w:rPr>
          <w:rFonts w:ascii="Calibri" w:cs="Calibri" w:eastAsia="Calibri" w:hAnsi="Calibri"/>
          <w:color w:val="6B7874"/>
          <w:sz w:val="22"/>
          <w:szCs w:val="22"/>
        </w:rPr>
        <w:t xml:space="preserve">Fourteen statements, about three minutes. A quick way to see where your safety culture sits and which areas deserve attention first.</w:t>
      </w:r>
    </w:p>
    <w:p>
      <w:pPr>
        <w:pBdr>
          <w:bottom w:val="single" w:color="DFD2C6" w:sz="6"/>
        </w:pBdr>
        <w:spacing w:after="240" w:before="80"/>
      </w:pPr>
      <w:r>
        <w:rPr>
          <w:sz w:val="2"/>
          <w:szCs w:val="2"/>
        </w:rPr>
        <w:t xml:space="preserve"/>
      </w:r>
    </w:p>
    <w:p>
      <w:pPr>
        <w:spacing w:after="120" w:before="0"/>
      </w:pPr>
      <w:r>
        <w:rPr>
          <w:rFonts w:ascii="Calibri" w:cs="Calibri" w:eastAsia="Calibri" w:hAnsi="Calibri"/>
          <w:b/>
          <w:bCs/>
          <w:color w:val="1A3735"/>
          <w:sz w:val="24"/>
          <w:szCs w:val="24"/>
        </w:rPr>
        <w:t xml:space="preserve">Before you start</w:t>
      </w:r>
    </w:p>
    <w:p>
      <w:pPr>
        <w:spacing w:after="140" w:line="270"/>
      </w:pPr>
      <w:r>
        <w:rPr>
          <w:rFonts w:ascii="Calibri" w:cs="Calibri" w:eastAsia="Calibri" w:hAnsi="Calibri"/>
          <w:color w:val="333333"/>
          <w:sz w:val="21"/>
          <w:szCs w:val="21"/>
        </w:rPr>
        <w:t xml:space="preserve">Answer as things actually are rather than how you would like them to be. If you are not sure, that in itself is worth noting.</w:t>
      </w:r>
    </w:p>
    <w:p>
      <w:pPr>
        <w:spacing w:after="140" w:line="270"/>
      </w:pPr>
      <w:r>
        <w:rPr>
          <w:rFonts w:ascii="Calibri" w:cs="Calibri" w:eastAsia="Calibri" w:hAnsi="Calibri"/>
          <w:color w:val="333333"/>
          <w:sz w:val="21"/>
          <w:szCs w:val="21"/>
        </w:rPr>
        <w:t xml:space="preserve">This works best when more than one person completes it separately. Where answers differ sharply between managers and frontline staff, that gap is usually the most useful thing the exercise produces.</w:t>
      </w:r>
    </w:p>
    <w:p>
      <w:pPr>
        <w:spacing w:after="220" w:line="270"/>
      </w:pPr>
      <w:r>
        <w:rPr>
          <w:rFonts w:ascii="Calibri" w:cs="Calibri" w:eastAsia="Calibri" w:hAnsi="Calibri"/>
          <w:color w:val="333333"/>
          <w:sz w:val="21"/>
          <w:szCs w:val="21"/>
        </w:rPr>
        <w:t xml:space="preserve">There are no right answers and nobody needs to see your score.</w:t>
      </w:r>
    </w:p>
    <w:p>
      <w:pPr>
        <w:spacing w:after="120" w:before="320"/>
      </w:pPr>
      <w:r>
        <w:rPr>
          <w:rFonts w:ascii="Calibri" w:cs="Calibri" w:eastAsia="Calibri" w:hAnsi="Calibri"/>
          <w:b/>
          <w:bCs/>
          <w:color w:val="1A3735"/>
          <w:sz w:val="26"/>
          <w:szCs w:val="26"/>
        </w:rPr>
        <w:t xml:space="preserve">The statements</w:t>
      </w:r>
    </w:p>
    <w:p>
      <w:pPr>
        <w:spacing w:after="200" w:line="270"/>
      </w:pPr>
      <w:r>
        <w:rPr>
          <w:rFonts w:ascii="Calibri" w:cs="Calibri" w:eastAsia="Calibri" w:hAnsi="Calibri"/>
          <w:color w:val="6B7874"/>
          <w:sz w:val="19"/>
          <w:szCs w:val="19"/>
        </w:rPr>
        <w:t xml:space="preserve">Tick one box for each statement.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600"/>
        <w:gridCol w:w="940"/>
        <w:gridCol w:w="940"/>
        <w:gridCol w:w="940"/>
        <w:gridCol w:w="940"/>
        <w:gridCol w:w="940"/>
      </w:tblGrid>
      <w:tr>
        <w:trPr>
          <w:tblHeader/>
        </w:trPr>
        <w:tc>
          <w:tcPr>
            <w:tcW w:type="dxa" w:w="5600"/>
            <w:shd w:fill="F7EFE7" w:color="auto" w:val="clear"/>
            <w:tcMar>
              <w:top w:type="dxa" w:w="64"/>
              <w:left w:type="dxa" w:w="104"/>
              <w:bottom w:type="dxa" w:w="64"/>
              <w:right w:type="dxa" w:w="104"/>
            </w:tcMar>
          </w:tcPr>
          <w:p>
            <w:pPr>
              <w:spacing w:after="0" w:line="240"/>
            </w:pPr>
            <w:r>
              <w:rPr>
                <w:rFonts w:ascii="Calibri" w:cs="Calibri" w:eastAsia="Calibri" w:hAnsi="Calibri"/>
                <w:b/>
                <w:bCs/>
                <w:color w:val="1A3735"/>
                <w:sz w:val="14"/>
                <w:szCs w:val="14"/>
              </w:rPr>
              <w:t xml:space="preserve"/>
            </w:r>
          </w:p>
        </w:tc>
        <w:tc>
          <w:tcPr>
            <w:tcW w:type="dxa" w:w="940"/>
            <w:shd w:fill="F7EFE7" w:color="auto" w:val="clear"/>
            <w:tcMar>
              <w:top w:type="dxa" w:w="64"/>
              <w:left w:type="dxa" w:w="104"/>
              <w:bottom w:type="dxa" w:w="64"/>
              <w:right w:type="dxa" w:w="104"/>
            </w:tcMar>
          </w:tcPr>
          <w:p>
            <w:pPr>
              <w:spacing w:after="0" w:line="240"/>
              <w:jc w:val="center"/>
            </w:pPr>
            <w:r>
              <w:rPr>
                <w:rFonts w:ascii="Calibri" w:cs="Calibri" w:eastAsia="Calibri" w:hAnsi="Calibri"/>
                <w:b/>
                <w:bCs/>
                <w:color w:val="1A3735"/>
                <w:sz w:val="14"/>
                <w:szCs w:val="14"/>
              </w:rPr>
              <w:t xml:space="preserve">Strongly disagree</w:t>
            </w:r>
          </w:p>
        </w:tc>
        <w:tc>
          <w:tcPr>
            <w:tcW w:type="dxa" w:w="940"/>
            <w:shd w:fill="F7EFE7" w:color="auto" w:val="clear"/>
            <w:tcMar>
              <w:top w:type="dxa" w:w="64"/>
              <w:left w:type="dxa" w:w="104"/>
              <w:bottom w:type="dxa" w:w="64"/>
              <w:right w:type="dxa" w:w="104"/>
            </w:tcMar>
          </w:tcPr>
          <w:p>
            <w:pPr>
              <w:spacing w:after="0" w:line="240"/>
              <w:jc w:val="center"/>
            </w:pPr>
            <w:r>
              <w:rPr>
                <w:rFonts w:ascii="Calibri" w:cs="Calibri" w:eastAsia="Calibri" w:hAnsi="Calibri"/>
                <w:b/>
                <w:bCs/>
                <w:color w:val="1A3735"/>
                <w:sz w:val="14"/>
                <w:szCs w:val="14"/>
              </w:rPr>
              <w:t xml:space="preserve">Disagree</w:t>
            </w:r>
          </w:p>
        </w:tc>
        <w:tc>
          <w:tcPr>
            <w:tcW w:type="dxa" w:w="940"/>
            <w:shd w:fill="F7EFE7" w:color="auto" w:val="clear"/>
            <w:tcMar>
              <w:top w:type="dxa" w:w="64"/>
              <w:left w:type="dxa" w:w="104"/>
              <w:bottom w:type="dxa" w:w="64"/>
              <w:right w:type="dxa" w:w="104"/>
            </w:tcMar>
          </w:tcPr>
          <w:p>
            <w:pPr>
              <w:spacing w:after="0" w:line="240"/>
              <w:jc w:val="center"/>
            </w:pPr>
            <w:r>
              <w:rPr>
                <w:rFonts w:ascii="Calibri" w:cs="Calibri" w:eastAsia="Calibri" w:hAnsi="Calibri"/>
                <w:b/>
                <w:bCs/>
                <w:color w:val="1A3735"/>
                <w:sz w:val="14"/>
                <w:szCs w:val="14"/>
              </w:rPr>
              <w:t xml:space="preserve">Unsure or mixed</w:t>
            </w:r>
          </w:p>
        </w:tc>
        <w:tc>
          <w:tcPr>
            <w:tcW w:type="dxa" w:w="940"/>
            <w:shd w:fill="F7EFE7" w:color="auto" w:val="clear"/>
            <w:tcMar>
              <w:top w:type="dxa" w:w="64"/>
              <w:left w:type="dxa" w:w="104"/>
              <w:bottom w:type="dxa" w:w="64"/>
              <w:right w:type="dxa" w:w="104"/>
            </w:tcMar>
          </w:tcPr>
          <w:p>
            <w:pPr>
              <w:spacing w:after="0" w:line="240"/>
              <w:jc w:val="center"/>
            </w:pPr>
            <w:r>
              <w:rPr>
                <w:rFonts w:ascii="Calibri" w:cs="Calibri" w:eastAsia="Calibri" w:hAnsi="Calibri"/>
                <w:b/>
                <w:bCs/>
                <w:color w:val="1A3735"/>
                <w:sz w:val="14"/>
                <w:szCs w:val="14"/>
              </w:rPr>
              <w:t xml:space="preserve">Agree</w:t>
            </w:r>
          </w:p>
        </w:tc>
        <w:tc>
          <w:tcPr>
            <w:tcW w:type="dxa" w:w="940"/>
            <w:shd w:fill="F7EFE7" w:color="auto" w:val="clear"/>
            <w:tcMar>
              <w:top w:type="dxa" w:w="64"/>
              <w:left w:type="dxa" w:w="104"/>
              <w:bottom w:type="dxa" w:w="64"/>
              <w:right w:type="dxa" w:w="104"/>
            </w:tcMar>
          </w:tcPr>
          <w:p>
            <w:pPr>
              <w:spacing w:after="0" w:line="240"/>
              <w:jc w:val="center"/>
            </w:pPr>
            <w:r>
              <w:rPr>
                <w:rFonts w:ascii="Calibri" w:cs="Calibri" w:eastAsia="Calibri" w:hAnsi="Calibri"/>
                <w:b/>
                <w:bCs/>
                <w:color w:val="1A3735"/>
                <w:sz w:val="14"/>
                <w:szCs w:val="14"/>
              </w:rPr>
              <w:t xml:space="preserve">Strongly agree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1.  Safety is a genuine value at every level; managers treat safety as something to keep improving, not a box that is already ticked.</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2.  When someone raises a safety concern, it gets ignored or not taken seriously.</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3.  We use a wide range of safety information to spot problems and take action before someone gets hurt.</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4.  Understanding of risks is patchy and hazards are underestimated.</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5.  Frontline workers are actively involved in influencing how we manage safety, for example risk assessments, inspections and improvement ideas.</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6.  Corners get cut without anyone really questioning it.</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7.  People feel this is a good, safe place to work and are proud of how safety is handled.</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8.  When there is pressure to hit deadlines or targets, safety takes a back seat.</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9.  Health and safety is not seen as a separate topic but is talked about regularly and openly, not just at inspections or after an incident.</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10.  Health and safety is viewed as something for managers or the safety adviser to deal with.</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11.  Procedures are actively reviewed and challenged to stay relevant.</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12.  Once an accident is recorded, nobody looks at it again.</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13.  Health and safety training is regularly reviewed to make sure it meets people needs.</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r>
        <w:tc>
          <w:tcPr>
            <w:tcW w:type="dxa" w:w="56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14.  Managers do not give feedback on safety performance or challenge unsafe acts.</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c>
          <w:tcPr>
            <w:tcW w:type="dxa" w:w="940"/>
            <w:tcMar>
              <w:top w:type="dxa" w:w="64"/>
              <w:left w:type="dxa" w:w="104"/>
              <w:bottom w:type="dxa" w:w="64"/>
              <w:right w:type="dxa" w:w="104"/>
            </w:tcMar>
          </w:tcPr>
          <w:p>
            <w:pPr>
              <w:spacing w:after="0" w:line="240"/>
              <w:jc w:val="center"/>
            </w:pPr>
            <w:r>
              <w:rPr>
                <w:rFonts w:ascii="Calibri" w:cs="Calibri" w:eastAsia="Calibri" w:hAnsi="Calibri"/>
                <w:color w:val="333333"/>
                <w:sz w:val="19"/>
                <w:szCs w:val="19"/>
              </w:rPr>
              <w:t xml:space="preserve">☐</w:t>
            </w:r>
          </w:p>
        </w:tc>
      </w:tr>
    </w:tbl>
    <w:p>
      <w:pPr>
        <w:spacing w:before="260"/>
      </w:pPr>
    </w:p>
    <w:p>
      <w:pPr>
        <w:spacing w:after="120" w:before="320"/>
      </w:pPr>
      <w:r>
        <w:rPr>
          <w:rFonts w:ascii="Calibri" w:cs="Calibri" w:eastAsia="Calibri" w:hAnsi="Calibri"/>
          <w:b/>
          <w:bCs/>
          <w:color w:val="1A3735"/>
          <w:sz w:val="26"/>
          <w:szCs w:val="26"/>
        </w:rPr>
        <w:t xml:space="preserve">Working out your score</w:t>
      </w:r>
    </w:p>
    <w:p>
      <w:pPr>
        <w:spacing w:after="140" w:line="270"/>
      </w:pPr>
      <w:r>
        <w:rPr>
          <w:rFonts w:ascii="Calibri" w:cs="Calibri" w:eastAsia="Calibri" w:hAnsi="Calibri"/>
          <w:color w:val="333333"/>
          <w:sz w:val="21"/>
          <w:szCs w:val="21"/>
        </w:rPr>
        <w:t xml:space="preserve">Score each answer from 1 to 5, reading left to right: strongly disagree is 1, strongly agree is 5.</w:t>
      </w:r>
    </w:p>
    <w:p>
      <w:pPr>
        <w:spacing w:after="140" w:line="270"/>
      </w:pPr>
      <w:r>
        <w:rPr>
          <w:rFonts w:ascii="Calibri" w:cs="Calibri" w:eastAsia="Calibri" w:hAnsi="Calibri"/>
          <w:color w:val="333333"/>
          <w:sz w:val="21"/>
          <w:szCs w:val="21"/>
        </w:rPr>
        <w:t xml:space="preserve">Seven of the statements are written the other way round, so a high score would be bad news. For those, flip the score: 5 becomes 1, 4 becomes 2, 3 stays as it is, 2 becomes 4, 1 becomes 5. The reversed statements are numbers 2, 4, 6, 8, 10, 12 and 14.</w:t>
      </w:r>
    </w:p>
    <w:p>
      <w:pPr>
        <w:spacing w:after="220" w:line="270"/>
      </w:pPr>
      <w:r>
        <w:rPr>
          <w:rFonts w:ascii="Calibri" w:cs="Calibri" w:eastAsia="Calibri" w:hAnsi="Calibri"/>
          <w:color w:val="333333"/>
          <w:sz w:val="21"/>
          <w:szCs w:val="21"/>
        </w:rPr>
        <w:t xml:space="preserve">Add up all fourteen scores and divide by fourteen. That average is your maturity level.</w:t>
      </w:r>
    </w:p>
    <w:p>
      <w:pPr>
        <w:spacing w:after="120" w:before="320"/>
      </w:pPr>
      <w:r>
        <w:rPr>
          <w:rFonts w:ascii="Calibri" w:cs="Calibri" w:eastAsia="Calibri" w:hAnsi="Calibri"/>
          <w:b/>
          <w:bCs/>
          <w:color w:val="1A3735"/>
          <w:sz w:val="26"/>
          <w:szCs w:val="26"/>
        </w:rPr>
        <w:t xml:space="preserve">Your maturity level</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1500"/>
        <w:gridCol w:w="6900"/>
      </w:tblGrid>
      <w:tr>
        <w:trPr>
          <w:tblHeader/>
        </w:trPr>
        <w:tc>
          <w:tcPr>
            <w:tcW w:type="dxa" w:w="1900"/>
            <w:shd w:fill="F7EFE7" w:color="auto" w:val="clear"/>
            <w:tcMar>
              <w:top w:type="dxa" w:w="64"/>
              <w:left w:type="dxa" w:w="104"/>
              <w:bottom w:type="dxa" w:w="64"/>
              <w:right w:type="dxa" w:w="104"/>
            </w:tcMar>
          </w:tcPr>
          <w:p>
            <w:pPr>
              <w:spacing w:after="0" w:line="240"/>
            </w:pPr>
            <w:r>
              <w:rPr>
                <w:rFonts w:ascii="Calibri" w:cs="Calibri" w:eastAsia="Calibri" w:hAnsi="Calibri"/>
                <w:b/>
                <w:bCs/>
                <w:color w:val="1A3735"/>
                <w:sz w:val="14"/>
                <w:szCs w:val="14"/>
              </w:rPr>
              <w:t xml:space="preserve">Average score</w:t>
            </w:r>
          </w:p>
        </w:tc>
        <w:tc>
          <w:tcPr>
            <w:tcW w:type="dxa" w:w="1500"/>
            <w:shd w:fill="F7EFE7" w:color="auto" w:val="clear"/>
            <w:tcMar>
              <w:top w:type="dxa" w:w="64"/>
              <w:left w:type="dxa" w:w="104"/>
              <w:bottom w:type="dxa" w:w="64"/>
              <w:right w:type="dxa" w:w="104"/>
            </w:tcMar>
          </w:tcPr>
          <w:p>
            <w:pPr>
              <w:spacing w:after="0" w:line="240"/>
            </w:pPr>
            <w:r>
              <w:rPr>
                <w:rFonts w:ascii="Calibri" w:cs="Calibri" w:eastAsia="Calibri" w:hAnsi="Calibri"/>
                <w:b/>
                <w:bCs/>
                <w:color w:val="1A3735"/>
                <w:sz w:val="14"/>
                <w:szCs w:val="14"/>
              </w:rPr>
              <w:t xml:space="preserve">Level</w:t>
            </w:r>
          </w:p>
        </w:tc>
        <w:tc>
          <w:tcPr>
            <w:tcW w:type="dxa" w:w="6900"/>
            <w:shd w:fill="F7EFE7" w:color="auto" w:val="clear"/>
            <w:tcMar>
              <w:top w:type="dxa" w:w="64"/>
              <w:left w:type="dxa" w:w="104"/>
              <w:bottom w:type="dxa" w:w="64"/>
              <w:right w:type="dxa" w:w="104"/>
            </w:tcMar>
          </w:tcPr>
          <w:p>
            <w:pPr>
              <w:spacing w:after="0" w:line="240"/>
            </w:pPr>
            <w:r>
              <w:rPr>
                <w:rFonts w:ascii="Calibri" w:cs="Calibri" w:eastAsia="Calibri" w:hAnsi="Calibri"/>
                <w:b/>
                <w:bCs/>
                <w:color w:val="1A3735"/>
                <w:sz w:val="14"/>
                <w:szCs w:val="14"/>
              </w:rPr>
              <w:t xml:space="preserve">What it means</w:t>
            </w:r>
          </w:p>
        </w:tc>
      </w:tr>
      <w:tr>
        <w:tc>
          <w:tcPr>
            <w:tcW w:type="dxa" w:w="1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1.00 to 1.80</w:t>
            </w:r>
          </w:p>
        </w:tc>
        <w:tc>
          <w:tcPr>
            <w:tcW w:type="dxa" w:w="1500"/>
            <w:tcMar>
              <w:top w:type="dxa" w:w="64"/>
              <w:left w:type="dxa" w:w="104"/>
              <w:bottom w:type="dxa" w:w="64"/>
              <w:right w:type="dxa" w:w="104"/>
            </w:tcMar>
          </w:tcPr>
          <w:p>
            <w:pPr>
              <w:spacing w:after="0" w:line="240"/>
            </w:pPr>
            <w:r>
              <w:rPr>
                <w:rFonts w:ascii="Calibri" w:cs="Calibri" w:eastAsia="Calibri" w:hAnsi="Calibri"/>
                <w:b/>
                <w:bCs/>
                <w:color w:val="333333"/>
                <w:sz w:val="19"/>
                <w:szCs w:val="19"/>
              </w:rPr>
              <w:t xml:space="preserve">Level 1 Emerging</w:t>
            </w:r>
          </w:p>
        </w:tc>
        <w:tc>
          <w:tcPr>
            <w:tcW w:type="dxa" w:w="6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Health and safety is driven mainly by rules, procedures and technical controls rather than being treated as a real business risk. Responsibility tends to sit with the safety adviser rather than with managers and the wider workforce. The opportunity is to build stronger, more visible management commitment.</w:t>
            </w:r>
          </w:p>
        </w:tc>
      </w:tr>
      <w:tr>
        <w:tc>
          <w:tcPr>
            <w:tcW w:type="dxa" w:w="1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Over 1.80 to 2.60</w:t>
            </w:r>
          </w:p>
        </w:tc>
        <w:tc>
          <w:tcPr>
            <w:tcW w:type="dxa" w:w="1500"/>
            <w:tcMar>
              <w:top w:type="dxa" w:w="64"/>
              <w:left w:type="dxa" w:w="104"/>
              <w:bottom w:type="dxa" w:w="64"/>
              <w:right w:type="dxa" w:w="104"/>
            </w:tcMar>
          </w:tcPr>
          <w:p>
            <w:pPr>
              <w:spacing w:after="0" w:line="240"/>
            </w:pPr>
            <w:r>
              <w:rPr>
                <w:rFonts w:ascii="Calibri" w:cs="Calibri" w:eastAsia="Calibri" w:hAnsi="Calibri"/>
                <w:b/>
                <w:bCs/>
                <w:color w:val="333333"/>
                <w:sz w:val="19"/>
                <w:szCs w:val="19"/>
              </w:rPr>
              <w:t xml:space="preserve">Level 2 Managing</w:t>
            </w:r>
          </w:p>
        </w:tc>
        <w:tc>
          <w:tcPr>
            <w:tcW w:type="dxa" w:w="6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Health and safety is recognised as an important business risk and management puts time and effort into preventing accidents, but the approach is largely management led and focused on people following the rules. The opportunity is to recognise the importance of frontline staff and build genuine personal responsibility.</w:t>
            </w:r>
          </w:p>
        </w:tc>
      </w:tr>
      <w:tr>
        <w:tc>
          <w:tcPr>
            <w:tcW w:type="dxa" w:w="1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Over 2.60 to 3.40</w:t>
            </w:r>
          </w:p>
        </w:tc>
        <w:tc>
          <w:tcPr>
            <w:tcW w:type="dxa" w:w="1500"/>
            <w:tcMar>
              <w:top w:type="dxa" w:w="64"/>
              <w:left w:type="dxa" w:w="104"/>
              <w:bottom w:type="dxa" w:w="64"/>
              <w:right w:type="dxa" w:w="104"/>
            </w:tcMar>
          </w:tcPr>
          <w:p>
            <w:pPr>
              <w:spacing w:after="0" w:line="240"/>
            </w:pPr>
            <w:r>
              <w:rPr>
                <w:rFonts w:ascii="Calibri" w:cs="Calibri" w:eastAsia="Calibri" w:hAnsi="Calibri"/>
                <w:b/>
                <w:bCs/>
                <w:color w:val="333333"/>
                <w:sz w:val="19"/>
                <w:szCs w:val="19"/>
              </w:rPr>
              <w:t xml:space="preserve">Level 3 Involving</w:t>
            </w:r>
          </w:p>
        </w:tc>
        <w:tc>
          <w:tcPr>
            <w:tcW w:type="dxa" w:w="6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Safety is becoming a shared responsibility and most people accept personal responsibility for their own safety. Progress may have started to plateau. The opportunity is to engage everyone and develop greater cooperation and commitment.</w:t>
            </w:r>
          </w:p>
        </w:tc>
      </w:tr>
      <w:tr>
        <w:tc>
          <w:tcPr>
            <w:tcW w:type="dxa" w:w="1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Over 3.40 to 4.20</w:t>
            </w:r>
          </w:p>
        </w:tc>
        <w:tc>
          <w:tcPr>
            <w:tcW w:type="dxa" w:w="1500"/>
            <w:tcMar>
              <w:top w:type="dxa" w:w="64"/>
              <w:left w:type="dxa" w:w="104"/>
              <w:bottom w:type="dxa" w:w="64"/>
              <w:right w:type="dxa" w:w="104"/>
            </w:tcMar>
          </w:tcPr>
          <w:p>
            <w:pPr>
              <w:spacing w:after="0" w:line="240"/>
            </w:pPr>
            <w:r>
              <w:rPr>
                <w:rFonts w:ascii="Calibri" w:cs="Calibri" w:eastAsia="Calibri" w:hAnsi="Calibri"/>
                <w:b/>
                <w:bCs/>
                <w:color w:val="333333"/>
                <w:sz w:val="19"/>
                <w:szCs w:val="19"/>
              </w:rPr>
              <w:t xml:space="preserve">Level 4 Cooperating</w:t>
            </w:r>
          </w:p>
        </w:tc>
        <w:tc>
          <w:tcPr>
            <w:tcW w:type="dxa" w:w="6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Safety is widely valued, managers and frontline staff work together, and the organisation is increasingly proactive about preventing harm. The opportunity is to develop consistency across the whole organisation and guard against complacency.</w:t>
            </w:r>
          </w:p>
        </w:tc>
      </w:tr>
      <w:tr>
        <w:tc>
          <w:tcPr>
            <w:tcW w:type="dxa" w:w="1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Over 4.20 to 5.00</w:t>
            </w:r>
          </w:p>
        </w:tc>
        <w:tc>
          <w:tcPr>
            <w:tcW w:type="dxa" w:w="1500"/>
            <w:tcMar>
              <w:top w:type="dxa" w:w="64"/>
              <w:left w:type="dxa" w:w="104"/>
              <w:bottom w:type="dxa" w:w="64"/>
              <w:right w:type="dxa" w:w="104"/>
            </w:tcMar>
          </w:tcPr>
          <w:p>
            <w:pPr>
              <w:spacing w:after="0" w:line="240"/>
            </w:pPr>
            <w:r>
              <w:rPr>
                <w:rFonts w:ascii="Calibri" w:cs="Calibri" w:eastAsia="Calibri" w:hAnsi="Calibri"/>
                <w:b/>
                <w:bCs/>
                <w:color w:val="333333"/>
                <w:sz w:val="19"/>
                <w:szCs w:val="19"/>
              </w:rPr>
              <w:t xml:space="preserve">Level 5 Continually improving</w:t>
            </w:r>
          </w:p>
        </w:tc>
        <w:tc>
          <w:tcPr>
            <w:tcW w:type="dxa" w:w="6900"/>
            <w:tcMar>
              <w:top w:type="dxa" w:w="64"/>
              <w:left w:type="dxa" w:w="104"/>
              <w:bottom w:type="dxa" w:w="64"/>
              <w:right w:type="dxa" w:w="104"/>
            </w:tcMar>
          </w:tcPr>
          <w:p>
            <w:pPr>
              <w:spacing w:after="0" w:line="240"/>
            </w:pPr>
            <w:r>
              <w:rPr>
                <w:rFonts w:ascii="Calibri" w:cs="Calibri" w:eastAsia="Calibri" w:hAnsi="Calibri"/>
                <w:color w:val="333333"/>
                <w:sz w:val="19"/>
                <w:szCs w:val="19"/>
              </w:rPr>
              <w:t xml:space="preserve">Preventing harm is embedded as a core value and strong performance has been sustained without breeding complacency. The opportunity is to protect what has been built while continuing to learn, adapt and improve.</w:t>
            </w:r>
          </w:p>
        </w:tc>
      </w:tr>
    </w:tbl>
    <w:p>
      <w:pPr>
        <w:spacing w:before="260"/>
      </w:pPr>
    </w:p>
    <w:p>
      <w:pPr>
        <w:spacing w:after="120" w:before="320"/>
      </w:pPr>
      <w:r>
        <w:rPr>
          <w:rFonts w:ascii="Calibri" w:cs="Calibri" w:eastAsia="Calibri" w:hAnsi="Calibri"/>
          <w:b/>
          <w:bCs/>
          <w:color w:val="1A3735"/>
          <w:sz w:val="26"/>
          <w:szCs w:val="26"/>
        </w:rPr>
        <w:t xml:space="preserve">Where to look next</w:t>
      </w:r>
    </w:p>
    <w:p>
      <w:pPr>
        <w:spacing w:after="140" w:line="270"/>
      </w:pPr>
      <w:r>
        <w:rPr>
          <w:rFonts w:ascii="Calibri" w:cs="Calibri" w:eastAsia="Calibri" w:hAnsi="Calibri"/>
          <w:color w:val="333333"/>
          <w:sz w:val="21"/>
          <w:szCs w:val="21"/>
        </w:rPr>
        <w:t xml:space="preserve">The fourteen statements cover seven areas, two statements each. Averaging the pair in each area shows where you are strongest and weakest, which is usually more useful than the headline number.</w:t>
      </w:r>
    </w:p>
    <w:p>
      <w:pPr>
        <w:spacing w:after="200" w:line="270"/>
      </w:pPr>
      <w:r>
        <w:rPr>
          <w:rFonts w:ascii="Calibri" w:cs="Calibri" w:eastAsia="Calibri" w:hAnsi="Calibri"/>
          <w:b/>
          <w:bCs/>
          <w:color w:val="1A3735"/>
          <w:sz w:val="21"/>
          <w:szCs w:val="21"/>
        </w:rPr>
        <w:t xml:space="preserve">Management commitment  ·  Communication  ·  Employee involvement  ·  Training and information  ·  Motivation  ·  Compliance with procedures  ·  Learning organisation</w:t>
      </w:r>
    </w:p>
    <w:p>
      <w:pPr>
        <w:spacing w:after="200" w:line="270"/>
      </w:pPr>
      <w:r>
        <w:rPr>
          <w:rFonts w:ascii="Calibri" w:cs="Calibri" w:eastAsia="Calibri" w:hAnsi="Calibri"/>
          <w:color w:val="333333"/>
          <w:sz w:val="21"/>
          <w:szCs w:val="21"/>
        </w:rPr>
        <w:t xml:space="preserve">An interactive version of this assessment scores itself and draws the seven areas as a chart. You will find it on the Cathedral Safety website under Resources.</w:t>
      </w:r>
    </w:p>
    <w:p>
      <w:pPr>
        <w:pBdr>
          <w:bottom w:val="single" w:color="DFD2C6" w:sz="6"/>
        </w:pBdr>
        <w:spacing w:after="240" w:before="80"/>
      </w:pPr>
      <w:r>
        <w:rPr>
          <w:sz w:val="2"/>
          <w:szCs w:val="2"/>
        </w:rPr>
        <w:t xml:space="preserve"/>
      </w:r>
    </w:p>
    <w:p>
      <w:pPr>
        <w:spacing w:after="60" w:line="270"/>
      </w:pPr>
      <w:r>
        <w:rPr>
          <w:rFonts w:ascii="Calibri" w:cs="Calibri" w:eastAsia="Calibri" w:hAnsi="Calibri"/>
          <w:i/>
          <w:iCs/>
          <w:color w:val="6B7874"/>
          <w:sz w:val="16"/>
          <w:szCs w:val="16"/>
        </w:rPr>
        <w:t xml:space="preserve">Based on the Safety Culture Maturity Model, prepared by The Keil Centre for the Health and Safety Executive, and on the seven areas of the HSE Inspectors Toolkit. Adapted by Cathedral Safety Services.</w:t>
      </w:r>
    </w:p>
    <w:p>
      <w:pPr>
        <w:spacing w:after="140" w:line="270"/>
      </w:pPr>
      <w:r>
        <w:rPr>
          <w:rFonts w:ascii="Calibri" w:cs="Calibri" w:eastAsia="Calibri" w:hAnsi="Calibri"/>
          <w:b/>
          <w:bCs/>
          <w:color w:val="FF6743"/>
          <w:sz w:val="16"/>
          <w:szCs w:val="16"/>
        </w:rPr>
        <w:t xml:space="preserve">cathedralsafety.co.uk</w:t>
      </w:r>
    </w:p>
    <w:sectPr>
      <w:pgSz w:w="11906" w:h="16838" w:orient="portrait"/>
      <w:pgMar w:top="840" w:right="940" w:bottom="760" w:left="9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Culture Maturity Self-Assessment</dc:title>
  <dc:creator>Cathedral Safety Services</dc:creator>
  <dc:description>A short self-assessment to see where your safety culture sits on the five level maturity model.</dc:description>
  <cp:lastModifiedBy>Un-named</cp:lastModifiedBy>
  <cp:revision>1</cp:revision>
  <dcterms:created xsi:type="dcterms:W3CDTF">2026-08-16T14:18:19.768Z</dcterms:created>
  <dcterms:modified xsi:type="dcterms:W3CDTF">2026-08-16T14:18:19.768Z</dcterms:modified>
</cp:coreProperties>
</file>

<file path=docProps/custom.xml><?xml version="1.0" encoding="utf-8"?>
<Properties xmlns="http://schemas.openxmlformats.org/officeDocument/2006/custom-properties" xmlns:vt="http://schemas.openxmlformats.org/officeDocument/2006/docPropsVTypes"/>
</file>